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37959E" w14:textId="77777777" w:rsidR="00486B9C" w:rsidRDefault="00486B9C" w:rsidP="00486B9C">
      <w:pPr>
        <w:jc w:val="center"/>
        <w:rPr>
          <w:b/>
        </w:rPr>
      </w:pPr>
      <w:r>
        <w:rPr>
          <w:b/>
        </w:rPr>
        <w:t>The ClinGen</w:t>
      </w:r>
      <w:r w:rsidRPr="00534157">
        <w:rPr>
          <w:b/>
        </w:rPr>
        <w:t xml:space="preserve"> Individual Level Database (ILDB)</w:t>
      </w:r>
    </w:p>
    <w:p w14:paraId="7A737F5D" w14:textId="09D2D881" w:rsidR="00486B9C" w:rsidRPr="003655BD" w:rsidRDefault="004A65F9" w:rsidP="00486B9C">
      <w:pPr>
        <w:jc w:val="center"/>
        <w:rPr>
          <w:color w:val="808080" w:themeColor="background1" w:themeShade="80"/>
        </w:rPr>
      </w:pPr>
      <w:r w:rsidRPr="003655BD">
        <w:rPr>
          <w:color w:val="808080" w:themeColor="background1" w:themeShade="80"/>
        </w:rPr>
        <w:t>Vision statement, outline and working definition</w:t>
      </w:r>
    </w:p>
    <w:p w14:paraId="3BEA0B60" w14:textId="77777777" w:rsidR="00486B9C" w:rsidRDefault="00486B9C" w:rsidP="00486B9C">
      <w:pPr>
        <w:jc w:val="center"/>
      </w:pPr>
    </w:p>
    <w:p w14:paraId="1CC326BD" w14:textId="77777777" w:rsidR="00486B9C" w:rsidRDefault="00486B9C" w:rsidP="00486B9C">
      <w:pPr>
        <w:jc w:val="center"/>
      </w:pPr>
    </w:p>
    <w:p w14:paraId="05B1D15E" w14:textId="77777777" w:rsidR="00486B9C" w:rsidRDefault="00486B9C" w:rsidP="00486B9C">
      <w:pPr>
        <w:jc w:val="center"/>
      </w:pPr>
      <w:r>
        <w:t>Draft 1</w:t>
      </w:r>
    </w:p>
    <w:p w14:paraId="11B9B92D" w14:textId="77777777" w:rsidR="00486B9C" w:rsidRDefault="00486B9C" w:rsidP="00486B9C">
      <w:pPr>
        <w:jc w:val="center"/>
      </w:pPr>
      <w:r>
        <w:t>July 22, 2015</w:t>
      </w:r>
    </w:p>
    <w:p w14:paraId="1D01A567" w14:textId="77777777" w:rsidR="00486B9C" w:rsidRDefault="00486B9C" w:rsidP="00486B9C">
      <w:pPr>
        <w:jc w:val="center"/>
      </w:pPr>
    </w:p>
    <w:p w14:paraId="3B7D739F" w14:textId="77777777" w:rsidR="00486B9C" w:rsidRDefault="00486B9C" w:rsidP="003655BD"/>
    <w:p w14:paraId="56C961DE" w14:textId="77777777" w:rsidR="00486B9C" w:rsidRDefault="00486B9C" w:rsidP="00486B9C">
      <w:pPr>
        <w:jc w:val="center"/>
      </w:pPr>
      <w:r>
        <w:t>Snehit Prabhu</w:t>
      </w:r>
    </w:p>
    <w:p w14:paraId="06BC69F4" w14:textId="77777777" w:rsidR="00486B9C" w:rsidRDefault="00486B9C" w:rsidP="00486B9C">
      <w:pPr>
        <w:jc w:val="center"/>
      </w:pPr>
      <w:r>
        <w:t>On behalf of</w:t>
      </w:r>
    </w:p>
    <w:p w14:paraId="05396320" w14:textId="77777777" w:rsidR="00486B9C" w:rsidRPr="00534157" w:rsidRDefault="00486B9C" w:rsidP="00486B9C">
      <w:pPr>
        <w:jc w:val="center"/>
      </w:pPr>
      <w:r>
        <w:t>The ClinGen ILDB taskforce</w:t>
      </w:r>
    </w:p>
    <w:p w14:paraId="059C7FEC" w14:textId="77777777" w:rsidR="00486B9C" w:rsidRDefault="00486B9C" w:rsidP="00486B9C">
      <w:pPr>
        <w:jc w:val="both"/>
      </w:pPr>
    </w:p>
    <w:p w14:paraId="5FE4242D" w14:textId="77777777" w:rsidR="00486B9C" w:rsidRDefault="00486B9C" w:rsidP="00486B9C">
      <w:pPr>
        <w:jc w:val="both"/>
        <w:rPr>
          <w:b/>
        </w:rPr>
      </w:pPr>
    </w:p>
    <w:p w14:paraId="4E4CA8F7" w14:textId="77777777" w:rsidR="00486B9C" w:rsidRDefault="00486B9C" w:rsidP="00486B9C">
      <w:pPr>
        <w:jc w:val="both"/>
        <w:rPr>
          <w:b/>
        </w:rPr>
      </w:pPr>
    </w:p>
    <w:p w14:paraId="6DFAE4AB" w14:textId="77777777" w:rsidR="00486B9C" w:rsidRDefault="00486B9C" w:rsidP="00486B9C">
      <w:pPr>
        <w:jc w:val="both"/>
      </w:pPr>
      <w:r>
        <w:t xml:space="preserve"> </w:t>
      </w:r>
    </w:p>
    <w:p w14:paraId="3FB44BA2" w14:textId="5FAAFB61" w:rsidR="00676543" w:rsidRDefault="00676543" w:rsidP="00486B9C">
      <w:pPr>
        <w:jc w:val="both"/>
        <w:rPr>
          <w:b/>
        </w:rPr>
      </w:pPr>
      <w:r w:rsidRPr="00676543">
        <w:rPr>
          <w:b/>
        </w:rPr>
        <w:t xml:space="preserve">Notes to </w:t>
      </w:r>
      <w:r>
        <w:rPr>
          <w:b/>
        </w:rPr>
        <w:t>Carlos, Heidi and Sharon</w:t>
      </w:r>
      <w:r w:rsidRPr="00676543">
        <w:rPr>
          <w:b/>
        </w:rPr>
        <w:t>:</w:t>
      </w:r>
    </w:p>
    <w:p w14:paraId="2DBCF535" w14:textId="77777777" w:rsidR="00676543" w:rsidRPr="00676543" w:rsidRDefault="00676543" w:rsidP="00486B9C">
      <w:pPr>
        <w:jc w:val="both"/>
        <w:rPr>
          <w:b/>
        </w:rPr>
      </w:pPr>
    </w:p>
    <w:p w14:paraId="679F64FB" w14:textId="09316BD8" w:rsidR="00676543" w:rsidRDefault="00676543" w:rsidP="00676543">
      <w:pPr>
        <w:pStyle w:val="ListParagraph"/>
        <w:numPr>
          <w:ilvl w:val="0"/>
          <w:numId w:val="5"/>
        </w:numPr>
      </w:pPr>
      <w:r>
        <w:t xml:space="preserve">This document outlines a personal vision for the ILDB project that I have pieced together after many discussions with team members </w:t>
      </w:r>
      <w:r w:rsidR="00BC1B33">
        <w:t>and much teeth grinding on my own</w:t>
      </w:r>
      <w:r>
        <w:t xml:space="preserve">. I hope it does not differ significantly from </w:t>
      </w:r>
      <w:r w:rsidR="00BC1B33">
        <w:t>each of your individual visions for this project.</w:t>
      </w:r>
      <w:r>
        <w:t xml:space="preserve"> </w:t>
      </w:r>
    </w:p>
    <w:p w14:paraId="5B622430" w14:textId="77777777" w:rsidR="000D3708" w:rsidRDefault="000D3708" w:rsidP="000D3708"/>
    <w:p w14:paraId="6E824C85" w14:textId="4EED7278" w:rsidR="000D3708" w:rsidRDefault="00676543" w:rsidP="000D3708">
      <w:pPr>
        <w:pStyle w:val="ListParagraph"/>
        <w:numPr>
          <w:ilvl w:val="0"/>
          <w:numId w:val="5"/>
        </w:numPr>
      </w:pPr>
      <w:r>
        <w:t>I made an executive decision to rename it the ClinGen ILDB (individual &gt; case). Please let me know if there is a reason we should keep the term “case”.</w:t>
      </w:r>
    </w:p>
    <w:p w14:paraId="72320463" w14:textId="77777777" w:rsidR="000D3708" w:rsidRDefault="000D3708" w:rsidP="000D3708">
      <w:pPr>
        <w:pStyle w:val="ListParagraph"/>
        <w:ind w:left="360"/>
      </w:pPr>
    </w:p>
    <w:p w14:paraId="31C7D7A6" w14:textId="59F0F8B8" w:rsidR="000D3708" w:rsidRDefault="0064348B" w:rsidP="00676543">
      <w:pPr>
        <w:pStyle w:val="ListParagraph"/>
        <w:numPr>
          <w:ilvl w:val="0"/>
          <w:numId w:val="5"/>
        </w:numPr>
      </w:pPr>
      <w:r>
        <w:t xml:space="preserve">On page 5, </w:t>
      </w:r>
      <w:r w:rsidR="000D3708">
        <w:t xml:space="preserve">is a </w:t>
      </w:r>
      <w:r>
        <w:t xml:space="preserve">critical set of </w:t>
      </w:r>
      <w:r w:rsidR="000D3708" w:rsidRPr="004A65F9">
        <w:rPr>
          <w:b/>
        </w:rPr>
        <w:t>“</w:t>
      </w:r>
      <w:r w:rsidRPr="004A65F9">
        <w:rPr>
          <w:b/>
        </w:rPr>
        <w:t>show-stopper</w:t>
      </w:r>
      <w:r w:rsidR="000D3708" w:rsidRPr="004A65F9">
        <w:rPr>
          <w:b/>
        </w:rPr>
        <w:t>”</w:t>
      </w:r>
      <w:r w:rsidRPr="004A65F9">
        <w:rPr>
          <w:b/>
        </w:rPr>
        <w:t xml:space="preserve"> issues</w:t>
      </w:r>
      <w:r>
        <w:t xml:space="preserve"> that I can foresee</w:t>
      </w:r>
      <w:r w:rsidR="000D3708">
        <w:t>,</w:t>
      </w:r>
      <w:r>
        <w:t xml:space="preserve"> to the best of my current </w:t>
      </w:r>
      <w:proofErr w:type="gramStart"/>
      <w:r>
        <w:t>knowledge.</w:t>
      </w:r>
      <w:proofErr w:type="gramEnd"/>
      <w:r>
        <w:t xml:space="preserve"> Without having at least </w:t>
      </w:r>
      <w:r w:rsidRPr="004A65F9">
        <w:rPr>
          <w:i/>
        </w:rPr>
        <w:t>some</w:t>
      </w:r>
      <w:r>
        <w:rPr>
          <w:i/>
        </w:rPr>
        <w:t xml:space="preserve"> </w:t>
      </w:r>
      <w:r w:rsidRPr="0064348B">
        <w:t>due-diligence</w:t>
      </w:r>
      <w:r w:rsidR="009C61E9">
        <w:t xml:space="preserve"> work</w:t>
      </w:r>
      <w:r w:rsidRPr="0064348B">
        <w:rPr>
          <w:i/>
        </w:rPr>
        <w:t xml:space="preserve"> </w:t>
      </w:r>
      <w:r>
        <w:t xml:space="preserve">to show against each </w:t>
      </w:r>
      <w:r w:rsidR="000D3708">
        <w:t xml:space="preserve">item on </w:t>
      </w:r>
      <w:r>
        <w:t>this list, there will be a reasonably strong argument against to the project</w:t>
      </w:r>
      <w:r w:rsidR="009C61E9">
        <w:t xml:space="preserve"> – either from regulators, or from a legal standpoint</w:t>
      </w:r>
      <w:r>
        <w:t xml:space="preserve">. If you can think of </w:t>
      </w:r>
      <w:r w:rsidR="00EE522C">
        <w:t>other critical</w:t>
      </w:r>
      <w:r w:rsidR="009C61E9">
        <w:t xml:space="preserve"> </w:t>
      </w:r>
      <w:proofErr w:type="gramStart"/>
      <w:r w:rsidR="009C61E9">
        <w:t xml:space="preserve">show </w:t>
      </w:r>
      <w:r w:rsidR="000D3708">
        <w:t>stoppers</w:t>
      </w:r>
      <w:proofErr w:type="gramEnd"/>
      <w:r w:rsidR="000D3708">
        <w:t>, please add in comments.</w:t>
      </w:r>
    </w:p>
    <w:p w14:paraId="4E94079F" w14:textId="77777777" w:rsidR="000D3708" w:rsidRDefault="000D3708" w:rsidP="000D3708"/>
    <w:p w14:paraId="1FF52AF7" w14:textId="25173F4E" w:rsidR="000D3708" w:rsidRDefault="001932B2" w:rsidP="001932B2">
      <w:pPr>
        <w:pStyle w:val="ListParagraph"/>
        <w:numPr>
          <w:ilvl w:val="0"/>
          <w:numId w:val="5"/>
        </w:numPr>
      </w:pPr>
      <w:r>
        <w:t>I’ve tried my best to fit the</w:t>
      </w:r>
      <w:r w:rsidR="000D3708">
        <w:t xml:space="preserve"> ILDB</w:t>
      </w:r>
      <w:r>
        <w:t xml:space="preserve"> project</w:t>
      </w:r>
      <w:r w:rsidR="000D3708">
        <w:t xml:space="preserve"> </w:t>
      </w:r>
      <w:r>
        <w:t xml:space="preserve">as seamlessly as possible into the current ClinGen narrative. Please go through </w:t>
      </w:r>
      <w:r w:rsidRPr="004A65F9">
        <w:rPr>
          <w:b/>
        </w:rPr>
        <w:t>figures 1 and 2</w:t>
      </w:r>
      <w:r>
        <w:t xml:space="preserve"> carefully, because they tell the story. I tried many alternate storylines, but this contrast worked best. Overall, I think pitching it in this manner the ILDB looks like an important piece of the ClinGen puzzle.</w:t>
      </w:r>
    </w:p>
    <w:p w14:paraId="3365664D" w14:textId="7BEC16D4" w:rsidR="00BE3018" w:rsidRDefault="00BE3018" w:rsidP="00BE3018">
      <w:pPr>
        <w:pStyle w:val="ListParagraph"/>
        <w:ind w:left="360"/>
      </w:pPr>
      <w:r>
        <w:t xml:space="preserve"> </w:t>
      </w:r>
    </w:p>
    <w:p w14:paraId="03DF3651" w14:textId="77777777" w:rsidR="000D3708" w:rsidRDefault="000D3708" w:rsidP="000D3708">
      <w:pPr>
        <w:pStyle w:val="ListParagraph"/>
        <w:ind w:left="360"/>
      </w:pPr>
    </w:p>
    <w:p w14:paraId="186AB09C" w14:textId="77777777" w:rsidR="000D3708" w:rsidRDefault="000D3708" w:rsidP="000D3708"/>
    <w:p w14:paraId="44A60640" w14:textId="5AA8CA6D" w:rsidR="00676543" w:rsidRDefault="0064348B" w:rsidP="000D3708">
      <w:r>
        <w:t xml:space="preserve"> </w:t>
      </w:r>
    </w:p>
    <w:p w14:paraId="1AAC4711" w14:textId="77777777" w:rsidR="00676543" w:rsidRDefault="00676543" w:rsidP="00676543"/>
    <w:p w14:paraId="4D236543" w14:textId="68F1EF36" w:rsidR="00486B9C" w:rsidRPr="002B3B92" w:rsidRDefault="00486B9C" w:rsidP="0064348B">
      <w:r>
        <w:br w:type="column"/>
      </w:r>
      <w:r w:rsidRPr="0064348B">
        <w:rPr>
          <w:b/>
        </w:rPr>
        <w:lastRenderedPageBreak/>
        <w:t>Aims and Objectives</w:t>
      </w:r>
    </w:p>
    <w:p w14:paraId="61F09FF7" w14:textId="77777777" w:rsidR="00486B9C" w:rsidRDefault="00486B9C" w:rsidP="00486B9C">
      <w:pPr>
        <w:jc w:val="both"/>
        <w:rPr>
          <w:b/>
        </w:rPr>
      </w:pPr>
    </w:p>
    <w:p w14:paraId="6735C4C2" w14:textId="0D7BE8D2" w:rsidR="00486B9C" w:rsidRDefault="00486B9C" w:rsidP="00486B9C">
      <w:pPr>
        <w:jc w:val="both"/>
      </w:pPr>
      <w:r>
        <w:t xml:space="preserve">The ClinGen ILDB project is an umbrella initiative to help patients and covered entities to contribute their clinical data towards disease-related genomic research. This will be done through the development of consent standards, data representation models, secure storage repositories, data submission and QC protocols, quantitative and qualitative privacy guarantee mechanisms, data usage guidelines, and lastly, regulatory standards and oversight measures for users of </w:t>
      </w:r>
      <w:r w:rsidR="00DC1792">
        <w:t>this</w:t>
      </w:r>
      <w:r>
        <w:t xml:space="preserve"> data by the ILDB taskforce. The overarching aim of the ILDB taskforce will be to facilitate the transparent and seamless use of (</w:t>
      </w:r>
      <w:r w:rsidR="00E028E0">
        <w:t>and conversely</w:t>
      </w:r>
      <w:r>
        <w:t xml:space="preserve">, explicitly define the conditions for non-use of) clinical genomic, phenomic and health data – acquired in the context of delivering patient care – in </w:t>
      </w:r>
      <w:r w:rsidR="00A92E4C">
        <w:t xml:space="preserve">medical </w:t>
      </w:r>
      <w:r>
        <w:t xml:space="preserve">research relevant to the disease. </w:t>
      </w:r>
    </w:p>
    <w:p w14:paraId="14CA3440" w14:textId="77777777" w:rsidR="00486B9C" w:rsidRDefault="00486B9C" w:rsidP="00486B9C">
      <w:pPr>
        <w:jc w:val="both"/>
      </w:pPr>
    </w:p>
    <w:p w14:paraId="2C4332B3" w14:textId="62FB13FD" w:rsidR="00486B9C" w:rsidRDefault="007C2FA8" w:rsidP="00486B9C">
      <w:pPr>
        <w:jc w:val="both"/>
      </w:pPr>
      <w:r>
        <w:t>G</w:t>
      </w:r>
      <w:r w:rsidR="00486B9C">
        <w:t xml:space="preserve">enomic </w:t>
      </w:r>
      <w:r w:rsidR="005E6B89">
        <w:t>information</w:t>
      </w:r>
      <w:r w:rsidR="00486B9C">
        <w:t xml:space="preserve"> generated in clinical settings </w:t>
      </w:r>
      <w:r>
        <w:t xml:space="preserve">today </w:t>
      </w:r>
      <w:r w:rsidR="00486B9C">
        <w:t xml:space="preserve">is often locked away in </w:t>
      </w:r>
      <w:r w:rsidR="00D63C3C">
        <w:t xml:space="preserve">data </w:t>
      </w:r>
      <w:r w:rsidR="00486B9C">
        <w:t>silos at their source institutions. Despite its obvious scientific value and immense potential, such data is unable to contribute meaningfully towards patient-oriented medical research –</w:t>
      </w:r>
      <w:r w:rsidR="00C508F3">
        <w:t xml:space="preserve"> </w:t>
      </w:r>
      <w:r w:rsidR="00486B9C">
        <w:t xml:space="preserve">despite </w:t>
      </w:r>
      <w:r w:rsidR="00212061">
        <w:t>the</w:t>
      </w:r>
      <w:r w:rsidR="00C508F3">
        <w:t xml:space="preserve"> often</w:t>
      </w:r>
      <w:r w:rsidR="00D5796C">
        <w:t xml:space="preserve"> </w:t>
      </w:r>
      <w:r w:rsidR="00486B9C">
        <w:t xml:space="preserve">contrary intentions of those patients. A variety of causes lie at the root of this </w:t>
      </w:r>
      <w:r w:rsidR="00486B9C" w:rsidRPr="001F2E46">
        <w:rPr>
          <w:i/>
        </w:rPr>
        <w:t>status quo</w:t>
      </w:r>
      <w:r w:rsidR="00486B9C">
        <w:t>, including (a) legal hurdles that discourage</w:t>
      </w:r>
      <w:r w:rsidR="00486B9C" w:rsidRPr="00595BCA">
        <w:t xml:space="preserve"> </w:t>
      </w:r>
      <w:r w:rsidR="00486B9C">
        <w:t xml:space="preserve">covered entities from contributing sensitive data, (b) regulatory hurdles that dis-incentivize their participation, and (c) technical hurdles pertaining to the ease with which such data might be securely deposited at a single site. </w:t>
      </w:r>
    </w:p>
    <w:p w14:paraId="28FCC064" w14:textId="77777777" w:rsidR="00486B9C" w:rsidRDefault="00486B9C" w:rsidP="00486B9C">
      <w:pPr>
        <w:jc w:val="both"/>
      </w:pPr>
    </w:p>
    <w:p w14:paraId="036D7B1F" w14:textId="4E85B618" w:rsidR="00486B9C" w:rsidRDefault="00486B9C" w:rsidP="00486B9C">
      <w:pPr>
        <w:jc w:val="both"/>
      </w:pPr>
      <w:r>
        <w:t>The existing state of affairs has given rise to several organic, inefficient and potentially error-prone mechanisms through wh</w:t>
      </w:r>
      <w:r w:rsidR="00715951">
        <w:t xml:space="preserve">ich the medical professionals, </w:t>
      </w:r>
      <w:r>
        <w:t>each with access t</w:t>
      </w:r>
      <w:r w:rsidR="00715951">
        <w:t xml:space="preserve">o a single institutional </w:t>
      </w:r>
      <w:r w:rsidR="008A122F">
        <w:t xml:space="preserve">data </w:t>
      </w:r>
      <w:r w:rsidR="00715951">
        <w:t xml:space="preserve">silo, </w:t>
      </w:r>
      <w:r>
        <w:t xml:space="preserve">share </w:t>
      </w:r>
      <w:r w:rsidR="00EF197A">
        <w:t>their limited</w:t>
      </w:r>
      <w:r>
        <w:t xml:space="preserve"> insights pertaining to the molecular mechanisms of disease. An illustration of one popular workflow surrounding clinical interpretation</w:t>
      </w:r>
      <w:r w:rsidR="00CE4EA4" w:rsidRPr="00CE4EA4">
        <w:t xml:space="preserve"> </w:t>
      </w:r>
      <w:r w:rsidR="00CE4EA4">
        <w:t>of genomic variants</w:t>
      </w:r>
      <w:r>
        <w:t xml:space="preserve"> (pathogenicity assessment</w:t>
      </w:r>
      <w:r w:rsidR="00715951">
        <w:t xml:space="preserve"> and</w:t>
      </w:r>
      <w:r>
        <w:t xml:space="preserve"> actionability) in widespread use today is provided </w:t>
      </w:r>
      <w:r w:rsidR="00805155">
        <w:t>in figure 1</w:t>
      </w:r>
      <w:r>
        <w:t>. In con</w:t>
      </w:r>
      <w:r w:rsidR="00591493">
        <w:t xml:space="preserve">trast, we envision a </w:t>
      </w:r>
      <w:r w:rsidR="001C1AD6">
        <w:t>new</w:t>
      </w:r>
      <w:r w:rsidR="00591493">
        <w:t xml:space="preserve"> </w:t>
      </w:r>
      <w:r>
        <w:t xml:space="preserve">workflow by which patient data that is relevant to </w:t>
      </w:r>
      <w:r w:rsidR="00A92E4C">
        <w:t xml:space="preserve">the task of </w:t>
      </w:r>
      <w:r>
        <w:t xml:space="preserve">interpretation can </w:t>
      </w:r>
      <w:r w:rsidR="001C1AD6">
        <w:t xml:space="preserve">easily and efficiently </w:t>
      </w:r>
      <w:r w:rsidR="00030FE4">
        <w:t>be</w:t>
      </w:r>
      <w:r>
        <w:t xml:space="preserve"> </w:t>
      </w:r>
      <w:r w:rsidR="00591493">
        <w:t>shared</w:t>
      </w:r>
      <w:r w:rsidR="001C1AD6">
        <w:t xml:space="preserve"> </w:t>
      </w:r>
      <w:r w:rsidR="00591493">
        <w:t>for</w:t>
      </w:r>
      <w:r>
        <w:t xml:space="preserve"> such research (see figure 2). A framework that </w:t>
      </w:r>
      <w:r w:rsidR="00972808">
        <w:t>simplifies</w:t>
      </w:r>
      <w:r>
        <w:t xml:space="preserve"> the </w:t>
      </w:r>
      <w:r w:rsidR="00E00958">
        <w:t>use</w:t>
      </w:r>
      <w:r>
        <w:t xml:space="preserve"> of </w:t>
      </w:r>
      <w:r w:rsidR="005F6F31">
        <w:t xml:space="preserve">such </w:t>
      </w:r>
      <w:r>
        <w:t xml:space="preserve">data has the potential to directly and positively impact patient care, with </w:t>
      </w:r>
      <w:r w:rsidR="000867F2">
        <w:t xml:space="preserve">either </w:t>
      </w:r>
      <w:bookmarkStart w:id="0" w:name="_GoBack"/>
      <w:bookmarkEnd w:id="0"/>
      <w:r>
        <w:t>min</w:t>
      </w:r>
      <w:r w:rsidR="000867F2">
        <w:t>imal or no appreciable increase</w:t>
      </w:r>
      <w:r>
        <w:t xml:space="preserve"> in patient risk.</w:t>
      </w:r>
    </w:p>
    <w:p w14:paraId="1A190FFB" w14:textId="77777777" w:rsidR="00486B9C" w:rsidRDefault="00486B9C" w:rsidP="00486B9C">
      <w:pPr>
        <w:jc w:val="both"/>
      </w:pPr>
    </w:p>
    <w:p w14:paraId="4E86E11B" w14:textId="77777777" w:rsidR="00486B9C" w:rsidRDefault="00486B9C" w:rsidP="00486B9C">
      <w:pPr>
        <w:jc w:val="both"/>
      </w:pPr>
    </w:p>
    <w:p w14:paraId="2776A93E" w14:textId="77777777" w:rsidR="00486B9C" w:rsidRDefault="00486B9C" w:rsidP="00486B9C">
      <w:pPr>
        <w:jc w:val="both"/>
      </w:pPr>
    </w:p>
    <w:p w14:paraId="0E478099" w14:textId="77777777" w:rsidR="00486B9C" w:rsidRDefault="00486B9C" w:rsidP="00486B9C">
      <w:pPr>
        <w:ind w:left="-360"/>
        <w:jc w:val="both"/>
      </w:pPr>
      <w:r>
        <w:br w:type="column"/>
      </w:r>
      <w:r>
        <w:rPr>
          <w:noProof/>
        </w:rPr>
        <w:drawing>
          <wp:inline distT="0" distB="0" distL="0" distR="0" wp14:anchorId="2C12E6A8" wp14:editId="6C2778B2">
            <wp:extent cx="6078681"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DB_figure2.pdf"/>
                    <pic:cNvPicPr/>
                  </pic:nvPicPr>
                  <pic:blipFill>
                    <a:blip r:embed="rId6">
                      <a:extLst>
                        <a:ext uri="{28A0092B-C50C-407E-A947-70E740481C1C}">
                          <a14:useLocalDpi xmlns:a14="http://schemas.microsoft.com/office/drawing/2010/main" val="0"/>
                        </a:ext>
                      </a:extLst>
                    </a:blip>
                    <a:stretch>
                      <a:fillRect/>
                    </a:stretch>
                  </pic:blipFill>
                  <pic:spPr>
                    <a:xfrm>
                      <a:off x="0" y="0"/>
                      <a:ext cx="6079324" cy="4458171"/>
                    </a:xfrm>
                    <a:prstGeom prst="rect">
                      <a:avLst/>
                    </a:prstGeom>
                  </pic:spPr>
                </pic:pic>
              </a:graphicData>
            </a:graphic>
          </wp:inline>
        </w:drawing>
      </w:r>
    </w:p>
    <w:p w14:paraId="681D3596" w14:textId="2873320D" w:rsidR="00486B9C" w:rsidRPr="00486B9C" w:rsidRDefault="00486B9C" w:rsidP="00486B9C">
      <w:pPr>
        <w:pStyle w:val="Caption"/>
        <w:jc w:val="both"/>
        <w:rPr>
          <w:b w:val="0"/>
          <w:color w:val="auto"/>
        </w:rPr>
      </w:pPr>
      <w:proofErr w:type="gramStart"/>
      <w:r w:rsidRPr="003B5FC3">
        <w:rPr>
          <w:color w:val="auto"/>
        </w:rPr>
        <w:t xml:space="preserve">Figure </w:t>
      </w:r>
      <w:proofErr w:type="gramEnd"/>
      <w:r w:rsidRPr="003B5FC3">
        <w:rPr>
          <w:color w:val="auto"/>
        </w:rPr>
        <w:fldChar w:fldCharType="begin"/>
      </w:r>
      <w:r w:rsidRPr="003B5FC3">
        <w:rPr>
          <w:color w:val="auto"/>
        </w:rPr>
        <w:instrText xml:space="preserve"> SEQ Figure \* ARABIC </w:instrText>
      </w:r>
      <w:r w:rsidRPr="003B5FC3">
        <w:rPr>
          <w:color w:val="auto"/>
        </w:rPr>
        <w:fldChar w:fldCharType="separate"/>
      </w:r>
      <w:r w:rsidR="008A122F">
        <w:rPr>
          <w:noProof/>
          <w:color w:val="auto"/>
        </w:rPr>
        <w:t>1</w:t>
      </w:r>
      <w:r w:rsidRPr="003B5FC3">
        <w:rPr>
          <w:color w:val="auto"/>
        </w:rPr>
        <w:fldChar w:fldCharType="end"/>
      </w:r>
      <w:proofErr w:type="gramStart"/>
      <w:r>
        <w:rPr>
          <w:color w:val="auto"/>
        </w:rPr>
        <w:t>.</w:t>
      </w:r>
      <w:proofErr w:type="gramEnd"/>
      <w:r w:rsidRPr="003B5FC3">
        <w:rPr>
          <w:b w:val="0"/>
          <w:color w:val="auto"/>
        </w:rPr>
        <w:t xml:space="preserve"> </w:t>
      </w:r>
      <w:r>
        <w:rPr>
          <w:b w:val="0"/>
          <w:color w:val="auto"/>
        </w:rPr>
        <w:t>This info-</w:t>
      </w:r>
      <w:r w:rsidRPr="003B5FC3">
        <w:rPr>
          <w:b w:val="0"/>
          <w:color w:val="auto"/>
        </w:rPr>
        <w:t xml:space="preserve">graphic </w:t>
      </w:r>
      <w:r>
        <w:rPr>
          <w:b w:val="0"/>
          <w:color w:val="auto"/>
        </w:rPr>
        <w:t xml:space="preserve">shows the </w:t>
      </w:r>
      <w:r w:rsidRPr="003B5FC3">
        <w:rPr>
          <w:b w:val="0"/>
          <w:color w:val="auto"/>
        </w:rPr>
        <w:t xml:space="preserve">flow of </w:t>
      </w:r>
      <w:r>
        <w:rPr>
          <w:b w:val="0"/>
          <w:color w:val="auto"/>
        </w:rPr>
        <w:t>clinical and research</w:t>
      </w:r>
      <w:r w:rsidR="000D3708">
        <w:rPr>
          <w:b w:val="0"/>
          <w:color w:val="auto"/>
        </w:rPr>
        <w:t>-grade</w:t>
      </w:r>
      <w:r>
        <w:rPr>
          <w:b w:val="0"/>
          <w:color w:val="auto"/>
        </w:rPr>
        <w:t xml:space="preserve"> genomic data collected </w:t>
      </w:r>
      <w:r w:rsidR="000D3708">
        <w:rPr>
          <w:b w:val="0"/>
          <w:color w:val="auto"/>
        </w:rPr>
        <w:t>for</w:t>
      </w:r>
      <w:r>
        <w:rPr>
          <w:b w:val="0"/>
          <w:color w:val="auto"/>
        </w:rPr>
        <w:t xml:space="preserve"> a particular disease domain, the relevant entities handling such data, and how </w:t>
      </w:r>
      <w:r w:rsidR="000D3708">
        <w:rPr>
          <w:b w:val="0"/>
          <w:color w:val="auto"/>
        </w:rPr>
        <w:t xml:space="preserve">the </w:t>
      </w:r>
      <w:r>
        <w:rPr>
          <w:b w:val="0"/>
          <w:color w:val="auto"/>
        </w:rPr>
        <w:t xml:space="preserve">results of </w:t>
      </w:r>
      <w:r w:rsidR="000D3708">
        <w:rPr>
          <w:b w:val="0"/>
          <w:color w:val="auto"/>
        </w:rPr>
        <w:t>their</w:t>
      </w:r>
      <w:r>
        <w:rPr>
          <w:b w:val="0"/>
          <w:color w:val="auto"/>
        </w:rPr>
        <w:t xml:space="preserve"> analysis </w:t>
      </w:r>
      <w:r w:rsidR="000D3708">
        <w:rPr>
          <w:b w:val="0"/>
          <w:color w:val="auto"/>
        </w:rPr>
        <w:t>trickle</w:t>
      </w:r>
      <w:r>
        <w:rPr>
          <w:b w:val="0"/>
          <w:color w:val="auto"/>
        </w:rPr>
        <w:t xml:space="preserve"> into a global scientific </w:t>
      </w:r>
      <w:r w:rsidR="000D3708">
        <w:rPr>
          <w:b w:val="0"/>
          <w:color w:val="auto"/>
        </w:rPr>
        <w:t>knowledgebase</w:t>
      </w:r>
      <w:r>
        <w:rPr>
          <w:b w:val="0"/>
          <w:color w:val="auto"/>
        </w:rPr>
        <w:t xml:space="preserve"> today. </w:t>
      </w:r>
      <w:r w:rsidRPr="00E7252F">
        <w:rPr>
          <w:color w:val="auto"/>
        </w:rPr>
        <w:t xml:space="preserve">(A) </w:t>
      </w:r>
      <w:r>
        <w:rPr>
          <w:b w:val="0"/>
          <w:color w:val="auto"/>
        </w:rPr>
        <w:t xml:space="preserve">A research study identifies and enrolls participants at the collaborating institutions’ sites, often over a period of years. Participants’ individual-level records (genotype data, phenotype data and relevant health data) typically have broad usage consent, and are subsequently aggregated into a central repository. </w:t>
      </w:r>
      <w:r w:rsidRPr="00E7252F">
        <w:rPr>
          <w:color w:val="auto"/>
        </w:rPr>
        <w:t>(B)</w:t>
      </w:r>
      <w:r>
        <w:rPr>
          <w:b w:val="0"/>
          <w:color w:val="auto"/>
        </w:rPr>
        <w:t xml:space="preserve"> Disease-associated variants are revealed through genomic analyses on the dataset, </w:t>
      </w:r>
      <w:r w:rsidRPr="00E7252F">
        <w:rPr>
          <w:color w:val="auto"/>
        </w:rPr>
        <w:t xml:space="preserve">(C, D) </w:t>
      </w:r>
      <w:r>
        <w:rPr>
          <w:b w:val="0"/>
          <w:color w:val="auto"/>
        </w:rPr>
        <w:t xml:space="preserve">followed by a variant interpretation process, usually adjudicated by a panel of experts in the disease domain. </w:t>
      </w:r>
      <w:r w:rsidRPr="00E7252F">
        <w:rPr>
          <w:color w:val="auto"/>
        </w:rPr>
        <w:t xml:space="preserve">(E) </w:t>
      </w:r>
      <w:r>
        <w:rPr>
          <w:b w:val="0"/>
          <w:color w:val="auto"/>
        </w:rPr>
        <w:t xml:space="preserve">Variants judged to be clinically significant are then submitted into databanks link </w:t>
      </w:r>
      <w:proofErr w:type="spellStart"/>
      <w:r>
        <w:rPr>
          <w:b w:val="0"/>
          <w:color w:val="auto"/>
        </w:rPr>
        <w:t>ClinVar</w:t>
      </w:r>
      <w:proofErr w:type="spellEnd"/>
      <w:r>
        <w:rPr>
          <w:b w:val="0"/>
          <w:color w:val="auto"/>
        </w:rPr>
        <w:t xml:space="preserve">. </w:t>
      </w:r>
      <w:r w:rsidRPr="00E7252F">
        <w:rPr>
          <w:color w:val="auto"/>
        </w:rPr>
        <w:t>(F)</w:t>
      </w:r>
      <w:r>
        <w:rPr>
          <w:b w:val="0"/>
          <w:color w:val="auto"/>
        </w:rPr>
        <w:t xml:space="preserve"> Any additional samples collected in the interim at the study centers can provide a boost to statistical power, and potentially reveal more disease-associated variants. This necessitates a reiteration through the entire analysis </w:t>
      </w:r>
      <w:r w:rsidRPr="00DC5909">
        <w:rPr>
          <w:b w:val="0"/>
          <w:color w:val="auto"/>
        </w:rPr>
        <w:t>(A though F).</w:t>
      </w:r>
      <w:r w:rsidRPr="00E7252F">
        <w:rPr>
          <w:color w:val="auto"/>
        </w:rPr>
        <w:t xml:space="preserve"> </w:t>
      </w:r>
      <w:r>
        <w:rPr>
          <w:b w:val="0"/>
          <w:color w:val="auto"/>
        </w:rPr>
        <w:t xml:space="preserve">Clinical testing laboratories are usually unable to contribute relevant patient samples due to privacy-related safeguards, and are left out of the process thus far. </w:t>
      </w:r>
      <w:r w:rsidRPr="00E7252F">
        <w:rPr>
          <w:color w:val="auto"/>
        </w:rPr>
        <w:t>(G)</w:t>
      </w:r>
      <w:r>
        <w:rPr>
          <w:b w:val="0"/>
          <w:color w:val="auto"/>
        </w:rPr>
        <w:t xml:space="preserve"> Often, novel but suggestive variants – with no existing clinical interpretations – are observed in the patient samples of these labs. The amount of such “suggestive” variation might differ significantly from lab to lab, due to </w:t>
      </w:r>
      <w:r w:rsidRPr="006A137E">
        <w:rPr>
          <w:b w:val="0"/>
          <w:i/>
          <w:color w:val="auto"/>
        </w:rPr>
        <w:t>bona-fide</w:t>
      </w:r>
      <w:r>
        <w:rPr>
          <w:b w:val="0"/>
          <w:color w:val="auto"/>
        </w:rPr>
        <w:t xml:space="preserve"> factors like ethnic representation of patients in the region or number of samples processed by the lab, but also potentially due to </w:t>
      </w:r>
      <w:proofErr w:type="spellStart"/>
      <w:r>
        <w:rPr>
          <w:b w:val="0"/>
          <w:color w:val="auto"/>
        </w:rPr>
        <w:t>artefactual</w:t>
      </w:r>
      <w:proofErr w:type="spellEnd"/>
      <w:r>
        <w:rPr>
          <w:b w:val="0"/>
          <w:color w:val="auto"/>
        </w:rPr>
        <w:t xml:space="preserve"> causes like type of genetic testing technology used and batch-effects due to undiagnosed errors in sample processing. </w:t>
      </w:r>
      <w:r w:rsidRPr="00E7252F">
        <w:rPr>
          <w:color w:val="auto"/>
        </w:rPr>
        <w:t>(H)</w:t>
      </w:r>
      <w:r>
        <w:rPr>
          <w:b w:val="0"/>
          <w:color w:val="auto"/>
        </w:rPr>
        <w:t xml:space="preserve"> Absent any framework to share patient records (on their contents) with the research community, testing labs maintain internal curation teams who are assigned the same task as disease domain experts. </w:t>
      </w:r>
      <w:r w:rsidRPr="00E7252F">
        <w:rPr>
          <w:color w:val="auto"/>
        </w:rPr>
        <w:t>(I)</w:t>
      </w:r>
      <w:r>
        <w:rPr>
          <w:b w:val="0"/>
          <w:color w:val="auto"/>
        </w:rPr>
        <w:t xml:space="preserve"> Curation teams at each testing lab perform triage studies to interpret their own novel variants. Although </w:t>
      </w:r>
      <w:proofErr w:type="gramStart"/>
      <w:r>
        <w:rPr>
          <w:b w:val="0"/>
          <w:color w:val="auto"/>
        </w:rPr>
        <w:t>best-practice</w:t>
      </w:r>
      <w:proofErr w:type="gramEnd"/>
      <w:r>
        <w:rPr>
          <w:b w:val="0"/>
          <w:color w:val="auto"/>
        </w:rPr>
        <w:t xml:space="preserve"> recommendations are usually observed, pathogenicity assessment might differ significantly from lab to lab. </w:t>
      </w:r>
      <w:r w:rsidRPr="00E7252F">
        <w:rPr>
          <w:color w:val="auto"/>
        </w:rPr>
        <w:t xml:space="preserve">(J) </w:t>
      </w:r>
      <w:r>
        <w:rPr>
          <w:b w:val="0"/>
          <w:color w:val="auto"/>
        </w:rPr>
        <w:t xml:space="preserve">These custom interpretations are subsequently deposited into an internal repository of the testing lab, and might become part of its intellectual property. Unlike the lab’s overall curation process, individual interpretations rarely undergo rigorous peer-review. </w:t>
      </w:r>
      <w:r w:rsidRPr="00E7252F">
        <w:rPr>
          <w:color w:val="auto"/>
        </w:rPr>
        <w:t>(K)</w:t>
      </w:r>
      <w:r>
        <w:rPr>
          <w:b w:val="0"/>
          <w:color w:val="auto"/>
        </w:rPr>
        <w:t xml:space="preserve"> Even if these interpretations are subsequently deposited into a community resource like </w:t>
      </w:r>
      <w:proofErr w:type="spellStart"/>
      <w:r>
        <w:rPr>
          <w:b w:val="0"/>
          <w:color w:val="auto"/>
        </w:rPr>
        <w:t>ClinVar</w:t>
      </w:r>
      <w:proofErr w:type="spellEnd"/>
      <w:r>
        <w:rPr>
          <w:b w:val="0"/>
          <w:color w:val="auto"/>
        </w:rPr>
        <w:t xml:space="preserve">, without access to patient phenotype information and a better understanding of the process used to identify and annotate these variants at the depositing lab, significant hurdles remain in assessing their true merit. </w:t>
      </w:r>
    </w:p>
    <w:p w14:paraId="439DAAB0" w14:textId="77777777" w:rsidR="00486B9C" w:rsidRPr="00006EFD" w:rsidRDefault="00486B9C" w:rsidP="00486B9C">
      <w:pPr>
        <w:jc w:val="both"/>
      </w:pPr>
      <w:r>
        <w:br w:type="column"/>
      </w:r>
    </w:p>
    <w:p w14:paraId="12A9EAB2" w14:textId="77777777" w:rsidR="00486B9C" w:rsidRDefault="00486B9C" w:rsidP="00486B9C">
      <w:pPr>
        <w:keepNext/>
        <w:ind w:left="-540"/>
        <w:jc w:val="both"/>
      </w:pPr>
      <w:r>
        <w:rPr>
          <w:noProof/>
        </w:rPr>
        <w:drawing>
          <wp:inline distT="0" distB="0" distL="0" distR="0" wp14:anchorId="414E314F" wp14:editId="6FC68C39">
            <wp:extent cx="6053667" cy="443935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DB_figure3.pdf"/>
                    <pic:cNvPicPr/>
                  </pic:nvPicPr>
                  <pic:blipFill>
                    <a:blip r:embed="rId7">
                      <a:extLst>
                        <a:ext uri="{28A0092B-C50C-407E-A947-70E740481C1C}">
                          <a14:useLocalDpi xmlns:a14="http://schemas.microsoft.com/office/drawing/2010/main" val="0"/>
                        </a:ext>
                      </a:extLst>
                    </a:blip>
                    <a:stretch>
                      <a:fillRect/>
                    </a:stretch>
                  </pic:blipFill>
                  <pic:spPr>
                    <a:xfrm>
                      <a:off x="0" y="0"/>
                      <a:ext cx="6053883" cy="4439514"/>
                    </a:xfrm>
                    <a:prstGeom prst="rect">
                      <a:avLst/>
                    </a:prstGeom>
                  </pic:spPr>
                </pic:pic>
              </a:graphicData>
            </a:graphic>
          </wp:inline>
        </w:drawing>
      </w:r>
    </w:p>
    <w:p w14:paraId="1B9D7074" w14:textId="77777777" w:rsidR="00486B9C" w:rsidRPr="00B32B60" w:rsidRDefault="00486B9C" w:rsidP="00486B9C">
      <w:pPr>
        <w:pStyle w:val="Caption"/>
        <w:jc w:val="both"/>
        <w:rPr>
          <w:b w:val="0"/>
          <w:color w:val="auto"/>
        </w:rPr>
      </w:pPr>
      <w:proofErr w:type="gramStart"/>
      <w:r w:rsidRPr="00340FC2">
        <w:rPr>
          <w:color w:val="auto"/>
        </w:rPr>
        <w:t xml:space="preserve">Figure </w:t>
      </w:r>
      <w:proofErr w:type="gramEnd"/>
      <w:r w:rsidRPr="00340FC2">
        <w:rPr>
          <w:color w:val="auto"/>
        </w:rPr>
        <w:fldChar w:fldCharType="begin"/>
      </w:r>
      <w:r w:rsidRPr="00340FC2">
        <w:rPr>
          <w:color w:val="auto"/>
        </w:rPr>
        <w:instrText xml:space="preserve"> SEQ Figure \* ARABIC </w:instrText>
      </w:r>
      <w:r w:rsidRPr="00340FC2">
        <w:rPr>
          <w:color w:val="auto"/>
        </w:rPr>
        <w:fldChar w:fldCharType="separate"/>
      </w:r>
      <w:r w:rsidR="008A122F">
        <w:rPr>
          <w:noProof/>
          <w:color w:val="auto"/>
        </w:rPr>
        <w:t>2</w:t>
      </w:r>
      <w:r w:rsidRPr="00340FC2">
        <w:rPr>
          <w:color w:val="auto"/>
        </w:rPr>
        <w:fldChar w:fldCharType="end"/>
      </w:r>
      <w:proofErr w:type="gramStart"/>
      <w:r>
        <w:rPr>
          <w:color w:val="auto"/>
        </w:rPr>
        <w:t>.</w:t>
      </w:r>
      <w:proofErr w:type="gramEnd"/>
      <w:r>
        <w:rPr>
          <w:color w:val="auto"/>
        </w:rPr>
        <w:t xml:space="preserve"> </w:t>
      </w:r>
      <w:r>
        <w:rPr>
          <w:b w:val="0"/>
          <w:color w:val="auto"/>
        </w:rPr>
        <w:t xml:space="preserve">This info-graphic shows our new, proposed workflow for genomic data through all the entities relevant to disease-related genomic analysis. </w:t>
      </w:r>
      <w:r w:rsidRPr="0022434A">
        <w:rPr>
          <w:color w:val="auto"/>
        </w:rPr>
        <w:t>(A, G)</w:t>
      </w:r>
      <w:r>
        <w:rPr>
          <w:b w:val="0"/>
          <w:color w:val="auto"/>
        </w:rPr>
        <w:t xml:space="preserve"> Research participant samples are deposited separately as before, but the ILDB resource now allows clinical testing labs to deposit their patient samples (those with appropriate consent) and be included in the process from the start. The combination of patient and participant records will provide increased statistical power to detect disease associated genomic variation – as evidenced by the chart to the top-right corner.</w:t>
      </w:r>
      <w:r w:rsidRPr="0022434A">
        <w:rPr>
          <w:color w:val="auto"/>
        </w:rPr>
        <w:t xml:space="preserve"> (B</w:t>
      </w:r>
      <w:r>
        <w:rPr>
          <w:color w:val="auto"/>
        </w:rPr>
        <w:t xml:space="preserve">, </w:t>
      </w:r>
      <w:r w:rsidRPr="0022434A">
        <w:rPr>
          <w:color w:val="auto"/>
        </w:rPr>
        <w:t>H)</w:t>
      </w:r>
      <w:r w:rsidRPr="003E1AA6">
        <w:rPr>
          <w:b w:val="0"/>
          <w:color w:val="auto"/>
        </w:rPr>
        <w:t xml:space="preserve"> While</w:t>
      </w:r>
      <w:r>
        <w:rPr>
          <w:b w:val="0"/>
          <w:color w:val="auto"/>
        </w:rPr>
        <w:t xml:space="preserve"> incorporation of research samples into analysis stays unchanged, appropriate processes to hide/transform the relevant fields in patient data need to be developed. Subsequent downstream analysis will be restricted to “variant” and “gene” level information, with curators having no access to patient-specific phenotype or health data </w:t>
      </w:r>
      <w:r w:rsidRPr="00B32B60">
        <w:rPr>
          <w:color w:val="auto"/>
        </w:rPr>
        <w:t>(C</w:t>
      </w:r>
      <w:r>
        <w:rPr>
          <w:color w:val="auto"/>
        </w:rPr>
        <w:t>, D</w:t>
      </w:r>
      <w:r w:rsidRPr="00B32B60">
        <w:rPr>
          <w:color w:val="auto"/>
        </w:rPr>
        <w:t>)</w:t>
      </w:r>
      <w:r>
        <w:rPr>
          <w:b w:val="0"/>
          <w:color w:val="auto"/>
        </w:rPr>
        <w:t xml:space="preserve"> The ClinGen crowd curation infrastructure (phone-app, web-interface) will bring together teams of domain experts for scalable interpretation of the much larger pool of associated variants. The curation and triage process for each disease domain will adhere to common standards, and remove lab-specific biases in interpretation. </w:t>
      </w:r>
      <w:r w:rsidRPr="00DE36F2">
        <w:rPr>
          <w:color w:val="auto"/>
        </w:rPr>
        <w:t>(E</w:t>
      </w:r>
      <w:r>
        <w:rPr>
          <w:color w:val="auto"/>
        </w:rPr>
        <w:t>, F</w:t>
      </w:r>
      <w:r w:rsidRPr="00DE36F2">
        <w:rPr>
          <w:color w:val="auto"/>
        </w:rPr>
        <w:t>)</w:t>
      </w:r>
      <w:r>
        <w:rPr>
          <w:b w:val="0"/>
          <w:color w:val="auto"/>
        </w:rPr>
        <w:t xml:space="preserve"> Variant interpretations will be deposited in the new </w:t>
      </w:r>
      <w:proofErr w:type="spellStart"/>
      <w:r>
        <w:rPr>
          <w:b w:val="0"/>
          <w:color w:val="auto"/>
        </w:rPr>
        <w:t>ClinGenKB</w:t>
      </w:r>
      <w:proofErr w:type="spellEnd"/>
      <w:r>
        <w:rPr>
          <w:b w:val="0"/>
          <w:color w:val="auto"/>
        </w:rPr>
        <w:t xml:space="preserve"> repository, with any additional patient records, research samples or associated variants being iterated through the entire process (A through F), as before.</w:t>
      </w:r>
    </w:p>
    <w:p w14:paraId="01EFD80E" w14:textId="77777777" w:rsidR="00486B9C" w:rsidRPr="002E5A95" w:rsidRDefault="00486B9C" w:rsidP="00486B9C">
      <w:pPr>
        <w:jc w:val="both"/>
        <w:rPr>
          <w:b/>
        </w:rPr>
      </w:pPr>
      <w:r>
        <w:br w:type="column"/>
      </w:r>
      <w:r>
        <w:rPr>
          <w:b/>
        </w:rPr>
        <w:t>Innovations required for the use of clinical data in genomic research.</w:t>
      </w:r>
    </w:p>
    <w:p w14:paraId="69403041" w14:textId="77777777" w:rsidR="00486B9C" w:rsidRDefault="00486B9C" w:rsidP="00486B9C">
      <w:pPr>
        <w:jc w:val="both"/>
      </w:pPr>
    </w:p>
    <w:p w14:paraId="5E881D08" w14:textId="77777777" w:rsidR="00486B9C" w:rsidRDefault="00486B9C" w:rsidP="00486B9C">
      <w:pPr>
        <w:jc w:val="both"/>
      </w:pPr>
      <w:r>
        <w:t>In order for hitherto-protected clinical data from patient records to be leveraged, The ILDB task force will need to provide solutions to the list of key issues. These are:</w:t>
      </w:r>
    </w:p>
    <w:p w14:paraId="26CEB092" w14:textId="77777777" w:rsidR="00486B9C" w:rsidRDefault="00486B9C" w:rsidP="00486B9C">
      <w:pPr>
        <w:jc w:val="both"/>
      </w:pPr>
    </w:p>
    <w:p w14:paraId="6258A3C2" w14:textId="77777777" w:rsidR="00486B9C" w:rsidRDefault="00486B9C" w:rsidP="00486B9C">
      <w:pPr>
        <w:pStyle w:val="ListParagraph"/>
        <w:numPr>
          <w:ilvl w:val="0"/>
          <w:numId w:val="4"/>
        </w:numPr>
        <w:jc w:val="both"/>
        <w:rPr>
          <w:b/>
        </w:rPr>
      </w:pPr>
      <w:r w:rsidRPr="002E5A95">
        <w:rPr>
          <w:b/>
        </w:rPr>
        <w:t>Consent standards</w:t>
      </w:r>
    </w:p>
    <w:p w14:paraId="7D8F37B1" w14:textId="77777777" w:rsidR="00486B9C" w:rsidRDefault="00486B9C" w:rsidP="00486B9C">
      <w:pPr>
        <w:pStyle w:val="ListParagraph"/>
        <w:ind w:left="360"/>
        <w:jc w:val="both"/>
      </w:pPr>
      <w:r>
        <w:t xml:space="preserve">[Text] </w:t>
      </w:r>
    </w:p>
    <w:p w14:paraId="7A5888EB" w14:textId="77777777" w:rsidR="00486B9C" w:rsidRDefault="00486B9C" w:rsidP="00486B9C">
      <w:pPr>
        <w:pStyle w:val="ListParagraph"/>
        <w:ind w:left="360"/>
        <w:jc w:val="both"/>
      </w:pPr>
      <w:r>
        <w:t>[</w:t>
      </w:r>
      <w:r>
        <w:rPr>
          <w:color w:val="C0504D" w:themeColor="accent2"/>
        </w:rPr>
        <w:t>Contributors</w:t>
      </w:r>
      <w:r w:rsidRPr="00006EFD">
        <w:t xml:space="preserve">: </w:t>
      </w:r>
      <w:r>
        <w:t xml:space="preserve">Snehit Prabhu. Kelly Ormond? Heidi </w:t>
      </w:r>
      <w:proofErr w:type="spellStart"/>
      <w:r>
        <w:t>Rehm</w:t>
      </w:r>
      <w:proofErr w:type="spellEnd"/>
      <w:r>
        <w:t xml:space="preserve">? Sharon </w:t>
      </w:r>
      <w:proofErr w:type="spellStart"/>
      <w:r>
        <w:t>Plon</w:t>
      </w:r>
      <w:proofErr w:type="spellEnd"/>
      <w:r>
        <w:t xml:space="preserve">?] </w:t>
      </w:r>
    </w:p>
    <w:p w14:paraId="318996E2" w14:textId="77777777" w:rsidR="00486B9C" w:rsidRPr="002E5A95" w:rsidRDefault="00486B9C" w:rsidP="00486B9C">
      <w:pPr>
        <w:pStyle w:val="ListParagraph"/>
        <w:ind w:left="360"/>
        <w:jc w:val="both"/>
        <w:rPr>
          <w:b/>
        </w:rPr>
      </w:pPr>
    </w:p>
    <w:p w14:paraId="066E2B28" w14:textId="77777777" w:rsidR="00486B9C" w:rsidRDefault="00486B9C" w:rsidP="00486B9C">
      <w:pPr>
        <w:pStyle w:val="ListParagraph"/>
        <w:numPr>
          <w:ilvl w:val="0"/>
          <w:numId w:val="4"/>
        </w:numPr>
        <w:jc w:val="both"/>
        <w:rPr>
          <w:b/>
        </w:rPr>
      </w:pPr>
      <w:r w:rsidRPr="002E5A95">
        <w:rPr>
          <w:b/>
        </w:rPr>
        <w:t>Data representation and storage models</w:t>
      </w:r>
    </w:p>
    <w:p w14:paraId="4B7A42D8" w14:textId="77777777" w:rsidR="00486B9C" w:rsidRDefault="00486B9C" w:rsidP="00486B9C">
      <w:pPr>
        <w:pStyle w:val="ListParagraph"/>
        <w:ind w:left="360"/>
        <w:jc w:val="both"/>
      </w:pPr>
      <w:r>
        <w:t>[Text]</w:t>
      </w:r>
    </w:p>
    <w:p w14:paraId="2C6343D8" w14:textId="77777777" w:rsidR="00486B9C" w:rsidRDefault="00486B9C" w:rsidP="00486B9C">
      <w:pPr>
        <w:pStyle w:val="ListParagraph"/>
        <w:ind w:left="360"/>
        <w:jc w:val="both"/>
      </w:pPr>
      <w:r>
        <w:t>[</w:t>
      </w:r>
      <w:r>
        <w:rPr>
          <w:color w:val="C0504D" w:themeColor="accent2"/>
        </w:rPr>
        <w:t>Contributors</w:t>
      </w:r>
      <w:r>
        <w:t>: Snehit Prabhu. Larry Babb? Sandy Aronson?]</w:t>
      </w:r>
    </w:p>
    <w:p w14:paraId="772E741B" w14:textId="77777777" w:rsidR="00486B9C" w:rsidRPr="002E5A95" w:rsidRDefault="00486B9C" w:rsidP="00486B9C">
      <w:pPr>
        <w:jc w:val="both"/>
        <w:rPr>
          <w:b/>
        </w:rPr>
      </w:pPr>
    </w:p>
    <w:p w14:paraId="4C292A51" w14:textId="77777777" w:rsidR="00486B9C" w:rsidRDefault="00486B9C" w:rsidP="00486B9C">
      <w:pPr>
        <w:pStyle w:val="ListParagraph"/>
        <w:numPr>
          <w:ilvl w:val="0"/>
          <w:numId w:val="4"/>
        </w:numPr>
        <w:jc w:val="both"/>
        <w:rPr>
          <w:b/>
        </w:rPr>
      </w:pPr>
      <w:r w:rsidRPr="002E5A95">
        <w:rPr>
          <w:b/>
        </w:rPr>
        <w:t>Data submission and QC</w:t>
      </w:r>
      <w:r>
        <w:rPr>
          <w:b/>
        </w:rPr>
        <w:t xml:space="preserve"> protocols</w:t>
      </w:r>
    </w:p>
    <w:p w14:paraId="62493EAA" w14:textId="77777777" w:rsidR="00486B9C" w:rsidRDefault="00486B9C" w:rsidP="00486B9C">
      <w:pPr>
        <w:pStyle w:val="ListParagraph"/>
        <w:ind w:left="360"/>
        <w:jc w:val="both"/>
      </w:pPr>
      <w:r>
        <w:t>[Text]</w:t>
      </w:r>
    </w:p>
    <w:p w14:paraId="2EF5E669" w14:textId="77777777" w:rsidR="00486B9C" w:rsidRPr="002E5A95" w:rsidRDefault="00486B9C" w:rsidP="00486B9C">
      <w:pPr>
        <w:pStyle w:val="ListParagraph"/>
        <w:ind w:left="360"/>
        <w:jc w:val="both"/>
      </w:pPr>
      <w:r>
        <w:t>[</w:t>
      </w:r>
      <w:r>
        <w:rPr>
          <w:color w:val="C0504D" w:themeColor="accent2"/>
        </w:rPr>
        <w:t>Contributors</w:t>
      </w:r>
      <w:r>
        <w:t>: Snehit Prabhu. Sam Baxter? Samuel Aronson? Larry Babb?]</w:t>
      </w:r>
    </w:p>
    <w:p w14:paraId="2A951E24" w14:textId="77777777" w:rsidR="00486B9C" w:rsidRPr="002E5A95" w:rsidRDefault="00486B9C" w:rsidP="00486B9C">
      <w:pPr>
        <w:pStyle w:val="ListParagraph"/>
        <w:ind w:left="360"/>
        <w:jc w:val="both"/>
        <w:rPr>
          <w:b/>
        </w:rPr>
      </w:pPr>
    </w:p>
    <w:p w14:paraId="35B2164F" w14:textId="77777777" w:rsidR="00486B9C" w:rsidRDefault="00486B9C" w:rsidP="00486B9C">
      <w:pPr>
        <w:pStyle w:val="ListParagraph"/>
        <w:numPr>
          <w:ilvl w:val="0"/>
          <w:numId w:val="4"/>
        </w:numPr>
        <w:jc w:val="both"/>
        <w:rPr>
          <w:b/>
        </w:rPr>
      </w:pPr>
      <w:r w:rsidRPr="002E5A95">
        <w:rPr>
          <w:b/>
        </w:rPr>
        <w:t>P</w:t>
      </w:r>
      <w:r>
        <w:rPr>
          <w:b/>
        </w:rPr>
        <w:t>atient p</w:t>
      </w:r>
      <w:r w:rsidRPr="002E5A95">
        <w:rPr>
          <w:b/>
        </w:rPr>
        <w:t>rivacy and security frameworks</w:t>
      </w:r>
    </w:p>
    <w:p w14:paraId="0C0E9644" w14:textId="77777777" w:rsidR="00486B9C" w:rsidRDefault="00486B9C" w:rsidP="00486B9C">
      <w:pPr>
        <w:pStyle w:val="ListParagraph"/>
        <w:ind w:left="360"/>
        <w:jc w:val="both"/>
      </w:pPr>
      <w:r>
        <w:t>[Text]</w:t>
      </w:r>
    </w:p>
    <w:p w14:paraId="26A75FB5" w14:textId="77777777" w:rsidR="00486B9C" w:rsidRDefault="00486B9C" w:rsidP="00486B9C">
      <w:pPr>
        <w:pStyle w:val="ListParagraph"/>
        <w:ind w:left="360"/>
        <w:jc w:val="both"/>
      </w:pPr>
      <w:r>
        <w:t>[</w:t>
      </w:r>
      <w:r>
        <w:rPr>
          <w:color w:val="C0504D" w:themeColor="accent2"/>
        </w:rPr>
        <w:t>Contributors</w:t>
      </w:r>
      <w:r>
        <w:t>:</w:t>
      </w:r>
      <w:r w:rsidRPr="00AB0456">
        <w:t xml:space="preserve"> </w:t>
      </w:r>
      <w:r>
        <w:t xml:space="preserve">Snehit Prabhu. Sharon </w:t>
      </w:r>
      <w:proofErr w:type="spellStart"/>
      <w:r>
        <w:t>Plon</w:t>
      </w:r>
      <w:proofErr w:type="spellEnd"/>
      <w:r>
        <w:t>? Sam Baxter?]</w:t>
      </w:r>
    </w:p>
    <w:p w14:paraId="7E0F74A6" w14:textId="77777777" w:rsidR="00486B9C" w:rsidRPr="002E5A95" w:rsidRDefault="00486B9C" w:rsidP="00486B9C">
      <w:pPr>
        <w:pStyle w:val="ListParagraph"/>
        <w:ind w:left="360"/>
        <w:jc w:val="both"/>
        <w:rPr>
          <w:b/>
        </w:rPr>
      </w:pPr>
    </w:p>
    <w:p w14:paraId="31FAF29A" w14:textId="77777777" w:rsidR="00486B9C" w:rsidRDefault="00486B9C" w:rsidP="00486B9C">
      <w:pPr>
        <w:pStyle w:val="ListParagraph"/>
        <w:numPr>
          <w:ilvl w:val="0"/>
          <w:numId w:val="4"/>
        </w:numPr>
        <w:jc w:val="both"/>
        <w:rPr>
          <w:b/>
        </w:rPr>
      </w:pPr>
      <w:r>
        <w:rPr>
          <w:b/>
        </w:rPr>
        <w:t xml:space="preserve">Data </w:t>
      </w:r>
      <w:r w:rsidRPr="002E5A95">
        <w:rPr>
          <w:b/>
        </w:rPr>
        <w:t>usage guidelines</w:t>
      </w:r>
      <w:r>
        <w:rPr>
          <w:b/>
        </w:rPr>
        <w:t xml:space="preserve"> and oversight/regulation of</w:t>
      </w:r>
      <w:r w:rsidRPr="004D1EA7">
        <w:rPr>
          <w:b/>
        </w:rPr>
        <w:t xml:space="preserve"> user</w:t>
      </w:r>
      <w:r>
        <w:rPr>
          <w:b/>
        </w:rPr>
        <w:t>s</w:t>
      </w:r>
      <w:r w:rsidRPr="004D1EA7">
        <w:rPr>
          <w:b/>
        </w:rPr>
        <w:t xml:space="preserve"> </w:t>
      </w:r>
    </w:p>
    <w:p w14:paraId="0339BFD0" w14:textId="77777777" w:rsidR="00486B9C" w:rsidRPr="004D1EA7" w:rsidRDefault="00486B9C" w:rsidP="00486B9C">
      <w:pPr>
        <w:pStyle w:val="ListParagraph"/>
        <w:ind w:left="360"/>
        <w:jc w:val="both"/>
        <w:rPr>
          <w:b/>
        </w:rPr>
      </w:pPr>
      <w:r>
        <w:t>[Text]</w:t>
      </w:r>
    </w:p>
    <w:p w14:paraId="59803513" w14:textId="77777777" w:rsidR="00486B9C" w:rsidRPr="002E5A95" w:rsidRDefault="00486B9C" w:rsidP="00486B9C">
      <w:pPr>
        <w:pStyle w:val="ListParagraph"/>
        <w:ind w:left="360"/>
        <w:jc w:val="both"/>
        <w:rPr>
          <w:b/>
        </w:rPr>
      </w:pPr>
      <w:r>
        <w:t>[</w:t>
      </w:r>
      <w:r>
        <w:rPr>
          <w:color w:val="C0504D" w:themeColor="accent2"/>
        </w:rPr>
        <w:t>Contributors</w:t>
      </w:r>
      <w:r>
        <w:t xml:space="preserve">: Snehit Prabhu. Heidi </w:t>
      </w:r>
      <w:proofErr w:type="spellStart"/>
      <w:r>
        <w:t>Rehm</w:t>
      </w:r>
      <w:proofErr w:type="spellEnd"/>
      <w:r>
        <w:t>?]</w:t>
      </w:r>
    </w:p>
    <w:p w14:paraId="268101AF" w14:textId="77777777" w:rsidR="00486B9C" w:rsidRDefault="00486B9C" w:rsidP="00486B9C">
      <w:pPr>
        <w:jc w:val="both"/>
      </w:pPr>
    </w:p>
    <w:p w14:paraId="3E2A50A5" w14:textId="14722FF1" w:rsidR="00486B9C" w:rsidRDefault="00486B9C" w:rsidP="00486B9C">
      <w:pPr>
        <w:jc w:val="both"/>
      </w:pPr>
      <w:r>
        <w:t xml:space="preserve">Through the research and development of these mechanisms, the ILDB taskforce will provide a </w:t>
      </w:r>
      <w:r w:rsidR="00C12B67">
        <w:t>comprehensive</w:t>
      </w:r>
      <w:r>
        <w:t xml:space="preserve"> solution through which appropriate clinical data might be identified and incorporated into research </w:t>
      </w:r>
      <w:r w:rsidR="00C12B67">
        <w:t>studies.</w:t>
      </w:r>
      <w:r>
        <w:t xml:space="preserve"> </w:t>
      </w:r>
      <w:r w:rsidR="000D26CA">
        <w:t>The ILDB</w:t>
      </w:r>
      <w:r w:rsidR="00C12B67">
        <w:t xml:space="preserve"> will provide a superior alternative to </w:t>
      </w:r>
      <w:r w:rsidR="00395613">
        <w:t>numerous</w:t>
      </w:r>
      <w:r w:rsidR="00790893">
        <w:t xml:space="preserve"> </w:t>
      </w:r>
      <w:r w:rsidRPr="00594ABC">
        <w:rPr>
          <w:i/>
        </w:rPr>
        <w:t>ad-hoc</w:t>
      </w:r>
      <w:r>
        <w:t xml:space="preserve"> </w:t>
      </w:r>
      <w:r w:rsidR="000D26CA">
        <w:t>solutions</w:t>
      </w:r>
      <w:r>
        <w:t xml:space="preserve"> in use</w:t>
      </w:r>
      <w:r w:rsidR="00C12B67">
        <w:t xml:space="preserve"> today</w:t>
      </w:r>
      <w:r w:rsidR="00395613">
        <w:t xml:space="preserve">, through which clinical data is manually “scrubbed” to protect patient identity before being shared </w:t>
      </w:r>
      <w:r w:rsidR="000D26CA">
        <w:t>with researchers</w:t>
      </w:r>
      <w:r>
        <w:t>.</w:t>
      </w:r>
    </w:p>
    <w:p w14:paraId="78649B03" w14:textId="77777777" w:rsidR="00486B9C" w:rsidRDefault="00486B9C" w:rsidP="00486B9C">
      <w:pPr>
        <w:jc w:val="both"/>
      </w:pPr>
    </w:p>
    <w:p w14:paraId="469BB076" w14:textId="77777777" w:rsidR="00486B9C" w:rsidRDefault="00486B9C" w:rsidP="00486B9C">
      <w:pPr>
        <w:jc w:val="both"/>
      </w:pPr>
      <w:r>
        <w:t xml:space="preserve"> </w:t>
      </w:r>
    </w:p>
    <w:p w14:paraId="5DCD67C5" w14:textId="77777777" w:rsidR="00990F0D" w:rsidRDefault="00990F0D"/>
    <w:sectPr w:rsidR="00990F0D" w:rsidSect="004576E2">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051F92" w14:textId="77777777" w:rsidR="00BE3018" w:rsidRDefault="00BE301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45B9AF3" w14:textId="77777777" w:rsidR="00BE3018" w:rsidRDefault="00BE301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EB2A2CC" w14:textId="77777777" w:rsidR="00BE3018" w:rsidRDefault="00BE3018">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EFE4F75" w14:textId="77777777" w:rsidR="00BE3018" w:rsidRDefault="00BE3018">
    <w:pPr>
      <w:pStyle w:val="Header"/>
    </w:pPr>
    <w:r>
      <w:rPr>
        <w:noProof/>
      </w:rPr>
      <w:pict w14:anchorId="6AAB5D5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9" type="#_x0000_t136" style="position:absolute;margin-left:0;margin-top:0;width:507.6pt;height:101.5pt;rotation:315;z-index:-251653120;mso-wrap-edited:f;mso-position-horizontal:center;mso-position-horizontal-relative:margin;mso-position-vertical:center;mso-position-vertical-relative:margin" wrapcoords="21121 4160 20642 4160 20547 4640 20802 6240 20802 9600 19781 8320 19111 8480 18122 5120 17803 4320 17643 4960 17643 8320 16527 6080 16463 6240 16335 6400 16271 6720 16176 8320 15952 9280 15952 10720 16207 12160 15282 8640 14899 7680 14740 8480 13719 8480 13687 8960 13942 11520 13145 8960 12698 7840 12570 8320 11071 4000 10560 4160 10496 4640 10752 6560 10401 8320 10145 8480 9858 8800 8901 5120 8295 3520 8103 4160 7912 4160 7561 4640 7178 6560 6955 9120 6093 8480 5806 8480 5583 8640 5487 8960 5264 8480 4753 8160 4626 8640 4881 12960 3988 8960 3413 7360 3190 8480 2169 5440 1818 4480 1371 4640 1084 4640 542 6080 287 8320 159 11680 287 14720 350 15040 797 17120 829 17440 1499 17760 2073 17280 2488 15360 3381 18880 3605 17760 4179 16800 4977 17760 5009 17600 5519 17440 5647 16960 6317 18240 6540 17760 9061 17440 9156 16960 8965 15360 10082 17760 10177 17760 10656 16960 10815 17440 11390 17760 11485 17280 12187 17280 12283 17600 12889 17760 13368 16000 13559 16640 14197 18560 14485 17760 15793 17440 15601 16160 16654 17760 17260 17280 17994 17440 18313 17280 18313 16800 18122 14400 18632 16800 19270 18400 19494 17440 20259 17760 21440 17440 21504 16960 21280 15840 21280 4960 21121 4160" fillcolor="silver" stroked="f">
          <v:fill opacity="45875f"/>
          <v:textpath style="font-family:&quot;Cambria&quot;;font-size:1pt" string="Confidential"/>
        </v:shape>
      </w:pict>
    </w:r>
    <w:r>
      <w:rPr>
        <w:noProof/>
      </w:rPr>
      <w:pict w14:anchorId="4B2926CD">
        <v:shape id="_x0000_s1026" type="#_x0000_t136" style="position:absolute;margin-left:0;margin-top:0;width:1in;height:1in;z-index:251660288"/>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E52A6C8" w14:textId="77777777" w:rsidR="00BE3018" w:rsidRDefault="00BE3018">
    <w:pPr>
      <w:pStyle w:val="Header"/>
    </w:pPr>
    <w:r>
      <w:rPr>
        <w:noProof/>
      </w:rPr>
      <w:pict w14:anchorId="04C26FE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8" type="#_x0000_t136" style="position:absolute;margin-left:0;margin-top:0;width:507.6pt;height:101.5pt;rotation:315;z-index:-251654144;mso-wrap-edited:f;mso-position-horizontal:center;mso-position-horizontal-relative:margin;mso-position-vertical:center;mso-position-vertical-relative:margin" wrapcoords="21121 4160 20642 4160 20547 4640 20802 6240 20802 9600 19781 8320 19111 8480 18122 5120 17803 4320 17643 4960 17643 8320 16527 6080 16463 6240 16335 6400 16271 6720 16176 8320 15952 9280 15952 10720 16207 12160 15282 8640 14899 7680 14740 8480 13719 8480 13687 8960 13942 11520 13145 8960 12698 7840 12570 8320 11071 4000 10560 4160 10496 4640 10752 6560 10401 8320 10145 8480 9858 8800 8901 5120 8295 3520 8103 4160 7912 4160 7561 4640 7178 6560 6955 9120 6093 8480 5806 8480 5583 8640 5487 8960 5264 8480 4753 8160 4626 8640 4881 12960 3988 8960 3413 7360 3190 8480 2169 5440 1818 4480 1371 4640 1084 4640 542 6080 287 8320 159 11680 287 14720 350 15040 797 17120 829 17440 1499 17760 2073 17280 2488 15360 3381 18880 3605 17760 4179 16800 4977 17760 5009 17600 5519 17440 5647 16960 6317 18240 6540 17760 9061 17440 9156 16960 8965 15360 10082 17760 10177 17760 10656 16960 10815 17440 11390 17760 11485 17280 12187 17280 12283 17600 12889 17760 13368 16000 13559 16640 14197 18560 14485 17760 15793 17440 15601 16160 16654 17760 17260 17280 17994 17440 18313 17280 18313 16800 18122 14400 18632 16800 19270 18400 19494 17440 20259 17760 21440 17440 21504 16960 21280 15840 21280 4960 21121 4160" fillcolor="silver" stroked="f">
          <v:fill opacity="45875f"/>
          <v:textpath style="font-family:&quot;Cambria&quot;;font-size:1pt" string="Confidential"/>
        </v:shape>
      </w:pict>
    </w:r>
    <w:r>
      <w:rPr>
        <w:noProof/>
      </w:rPr>
      <w:pict w14:anchorId="324B93D6">
        <v:shape id="_x0000_s1025" type="#_x0000_t136" style="position:absolute;margin-left:0;margin-top:0;width:1in;height:1in;z-index:251658240"/>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C7C67C9" w14:textId="77777777" w:rsidR="00BE3018" w:rsidRDefault="00BE3018">
    <w:pPr>
      <w:pStyle w:val="Header"/>
    </w:pPr>
    <w:r>
      <w:rPr>
        <w:noProof/>
      </w:rPr>
      <w:pict w14:anchorId="187344F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30" type="#_x0000_t136" style="position:absolute;margin-left:0;margin-top:0;width:507.6pt;height:101.5pt;rotation:315;z-index:-251652096;mso-wrap-edited:f;mso-position-horizontal:center;mso-position-horizontal-relative:margin;mso-position-vertical:center;mso-position-vertical-relative:margin" wrapcoords="21121 4160 20642 4160 20547 4640 20802 6240 20802 9600 19781 8320 19111 8480 18122 5120 17803 4320 17643 4960 17643 8320 16527 6080 16463 6240 16335 6400 16271 6720 16176 8320 15952 9280 15952 10720 16207 12160 15282 8640 14899 7680 14740 8480 13719 8480 13687 8960 13942 11520 13145 8960 12698 7840 12570 8320 11071 4000 10560 4160 10496 4640 10752 6560 10401 8320 10145 8480 9858 8800 8901 5120 8295 3520 8103 4160 7912 4160 7561 4640 7178 6560 6955 9120 6093 8480 5806 8480 5583 8640 5487 8960 5264 8480 4753 8160 4626 8640 4881 12960 3988 8960 3413 7360 3190 8480 2169 5440 1818 4480 1371 4640 1084 4640 542 6080 287 8320 159 11680 287 14720 350 15040 797 17120 829 17440 1499 17760 2073 17280 2488 15360 3381 18880 3605 17760 4179 16800 4977 17760 5009 17600 5519 17440 5647 16960 6317 18240 6540 17760 9061 17440 9156 16960 8965 15360 10082 17760 10177 17760 10656 16960 10815 17440 11390 17760 11485 17280 12187 17280 12283 17600 12889 17760 13368 16000 13559 16640 14197 18560 14485 17760 15793 17440 15601 16160 16654 17760 17260 17280 17994 17440 18313 17280 18313 16800 18122 14400 18632 16800 19270 18400 19494 17440 20259 17760 21440 17440 21504 16960 21280 15840 21280 4960 21121 4160" fillcolor="silver" stroked="f">
          <v:fill opacity="45875f"/>
          <v:textpath style="font-family:&quot;Cambria&quot;;font-size:1pt" string="Confidential"/>
        </v:shape>
      </w:pict>
    </w:r>
    <w:r>
      <w:rPr>
        <w:noProof/>
      </w:rPr>
      <w:pict w14:anchorId="1928C757">
        <v:shape id="_x0000_s1027" type="#_x0000_t136" style="position:absolute;margin-left:0;margin-top:0;width:1in;height:1in;z-index:251661312"/>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623E5A"/>
    <w:multiLevelType w:val="hybridMultilevel"/>
    <w:tmpl w:val="41E0A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6967E3"/>
    <w:multiLevelType w:val="hybridMultilevel"/>
    <w:tmpl w:val="24042A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FC23B8A"/>
    <w:multiLevelType w:val="hybridMultilevel"/>
    <w:tmpl w:val="B5505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CC77624"/>
    <w:multiLevelType w:val="hybridMultilevel"/>
    <w:tmpl w:val="9DCACC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4E3206F"/>
    <w:multiLevelType w:val="hybridMultilevel"/>
    <w:tmpl w:val="B55055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34918C9"/>
    <w:multiLevelType w:val="hybridMultilevel"/>
    <w:tmpl w:val="6FC65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1031"/>
    <o:shapelayout v:ext="edit">
      <o:idmap v:ext="edit" data="1"/>
    </o:shapelayout>
  </w:hdrShapeDefault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6B9C"/>
    <w:rsid w:val="00030FE4"/>
    <w:rsid w:val="000867F2"/>
    <w:rsid w:val="000D26CA"/>
    <w:rsid w:val="000D3708"/>
    <w:rsid w:val="001932B2"/>
    <w:rsid w:val="001C1AD6"/>
    <w:rsid w:val="00212061"/>
    <w:rsid w:val="002E15BC"/>
    <w:rsid w:val="00316EB9"/>
    <w:rsid w:val="003655BD"/>
    <w:rsid w:val="0038660A"/>
    <w:rsid w:val="00395613"/>
    <w:rsid w:val="004069B3"/>
    <w:rsid w:val="004576E2"/>
    <w:rsid w:val="00486B9C"/>
    <w:rsid w:val="004A65F9"/>
    <w:rsid w:val="00591493"/>
    <w:rsid w:val="005E6B89"/>
    <w:rsid w:val="005F6F31"/>
    <w:rsid w:val="0064348B"/>
    <w:rsid w:val="00676543"/>
    <w:rsid w:val="00715951"/>
    <w:rsid w:val="00730FEB"/>
    <w:rsid w:val="00790893"/>
    <w:rsid w:val="007C2FA8"/>
    <w:rsid w:val="00805155"/>
    <w:rsid w:val="008A122F"/>
    <w:rsid w:val="00972808"/>
    <w:rsid w:val="00990F0D"/>
    <w:rsid w:val="009C61E9"/>
    <w:rsid w:val="00A92E4C"/>
    <w:rsid w:val="00AB14B5"/>
    <w:rsid w:val="00B21EFC"/>
    <w:rsid w:val="00BC1B33"/>
    <w:rsid w:val="00BE3018"/>
    <w:rsid w:val="00C12B67"/>
    <w:rsid w:val="00C508F3"/>
    <w:rsid w:val="00CE4EA4"/>
    <w:rsid w:val="00D5796C"/>
    <w:rsid w:val="00D63C3C"/>
    <w:rsid w:val="00DC1792"/>
    <w:rsid w:val="00E00958"/>
    <w:rsid w:val="00E028E0"/>
    <w:rsid w:val="00EE522C"/>
    <w:rsid w:val="00EF19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803B9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B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B9C"/>
    <w:pPr>
      <w:ind w:left="720"/>
      <w:contextualSpacing/>
    </w:pPr>
  </w:style>
  <w:style w:type="character" w:styleId="Hyperlink">
    <w:name w:val="Hyperlink"/>
    <w:basedOn w:val="DefaultParagraphFont"/>
    <w:uiPriority w:val="99"/>
    <w:unhideWhenUsed/>
    <w:rsid w:val="00486B9C"/>
    <w:rPr>
      <w:color w:val="0000FF" w:themeColor="hyperlink"/>
      <w:u w:val="single"/>
    </w:rPr>
  </w:style>
  <w:style w:type="table" w:styleId="TableGrid">
    <w:name w:val="Table Grid"/>
    <w:basedOn w:val="TableNormal"/>
    <w:uiPriority w:val="59"/>
    <w:rsid w:val="00486B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86B9C"/>
    <w:pPr>
      <w:tabs>
        <w:tab w:val="center" w:pos="4320"/>
        <w:tab w:val="right" w:pos="8640"/>
      </w:tabs>
    </w:pPr>
  </w:style>
  <w:style w:type="character" w:customStyle="1" w:styleId="HeaderChar">
    <w:name w:val="Header Char"/>
    <w:basedOn w:val="DefaultParagraphFont"/>
    <w:link w:val="Header"/>
    <w:uiPriority w:val="99"/>
    <w:rsid w:val="00486B9C"/>
  </w:style>
  <w:style w:type="paragraph" w:styleId="Footer">
    <w:name w:val="footer"/>
    <w:basedOn w:val="Normal"/>
    <w:link w:val="FooterChar"/>
    <w:uiPriority w:val="99"/>
    <w:unhideWhenUsed/>
    <w:rsid w:val="00486B9C"/>
    <w:pPr>
      <w:tabs>
        <w:tab w:val="center" w:pos="4320"/>
        <w:tab w:val="right" w:pos="8640"/>
      </w:tabs>
    </w:pPr>
  </w:style>
  <w:style w:type="character" w:customStyle="1" w:styleId="FooterChar">
    <w:name w:val="Footer Char"/>
    <w:basedOn w:val="DefaultParagraphFont"/>
    <w:link w:val="Footer"/>
    <w:uiPriority w:val="99"/>
    <w:rsid w:val="00486B9C"/>
  </w:style>
  <w:style w:type="paragraph" w:styleId="Caption">
    <w:name w:val="caption"/>
    <w:basedOn w:val="Normal"/>
    <w:next w:val="Normal"/>
    <w:uiPriority w:val="35"/>
    <w:unhideWhenUsed/>
    <w:qFormat/>
    <w:rsid w:val="00486B9C"/>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486B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6B9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B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B9C"/>
    <w:pPr>
      <w:ind w:left="720"/>
      <w:contextualSpacing/>
    </w:pPr>
  </w:style>
  <w:style w:type="character" w:styleId="Hyperlink">
    <w:name w:val="Hyperlink"/>
    <w:basedOn w:val="DefaultParagraphFont"/>
    <w:uiPriority w:val="99"/>
    <w:unhideWhenUsed/>
    <w:rsid w:val="00486B9C"/>
    <w:rPr>
      <w:color w:val="0000FF" w:themeColor="hyperlink"/>
      <w:u w:val="single"/>
    </w:rPr>
  </w:style>
  <w:style w:type="table" w:styleId="TableGrid">
    <w:name w:val="Table Grid"/>
    <w:basedOn w:val="TableNormal"/>
    <w:uiPriority w:val="59"/>
    <w:rsid w:val="00486B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86B9C"/>
    <w:pPr>
      <w:tabs>
        <w:tab w:val="center" w:pos="4320"/>
        <w:tab w:val="right" w:pos="8640"/>
      </w:tabs>
    </w:pPr>
  </w:style>
  <w:style w:type="character" w:customStyle="1" w:styleId="HeaderChar">
    <w:name w:val="Header Char"/>
    <w:basedOn w:val="DefaultParagraphFont"/>
    <w:link w:val="Header"/>
    <w:uiPriority w:val="99"/>
    <w:rsid w:val="00486B9C"/>
  </w:style>
  <w:style w:type="paragraph" w:styleId="Footer">
    <w:name w:val="footer"/>
    <w:basedOn w:val="Normal"/>
    <w:link w:val="FooterChar"/>
    <w:uiPriority w:val="99"/>
    <w:unhideWhenUsed/>
    <w:rsid w:val="00486B9C"/>
    <w:pPr>
      <w:tabs>
        <w:tab w:val="center" w:pos="4320"/>
        <w:tab w:val="right" w:pos="8640"/>
      </w:tabs>
    </w:pPr>
  </w:style>
  <w:style w:type="character" w:customStyle="1" w:styleId="FooterChar">
    <w:name w:val="Footer Char"/>
    <w:basedOn w:val="DefaultParagraphFont"/>
    <w:link w:val="Footer"/>
    <w:uiPriority w:val="99"/>
    <w:rsid w:val="00486B9C"/>
  </w:style>
  <w:style w:type="paragraph" w:styleId="Caption">
    <w:name w:val="caption"/>
    <w:basedOn w:val="Normal"/>
    <w:next w:val="Normal"/>
    <w:uiPriority w:val="35"/>
    <w:unhideWhenUsed/>
    <w:qFormat/>
    <w:rsid w:val="00486B9C"/>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486B9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86B9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1386</Words>
  <Characters>7902</Characters>
  <Application>Microsoft Macintosh Word</Application>
  <DocSecurity>0</DocSecurity>
  <Lines>65</Lines>
  <Paragraphs>18</Paragraphs>
  <ScaleCrop>false</ScaleCrop>
  <Company>Stanford University</Company>
  <LinksUpToDate>false</LinksUpToDate>
  <CharactersWithSpaces>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Snehit Prabhu</dc:creator>
  <cp:keywords/>
  <dc:description/>
  <cp:lastModifiedBy>Snehit Prabhu</cp:lastModifiedBy>
  <cp:revision>13</cp:revision>
  <cp:lastPrinted>2015-07-27T08:32:00Z</cp:lastPrinted>
  <dcterms:created xsi:type="dcterms:W3CDTF">2015-07-27T08:32:00Z</dcterms:created>
  <dcterms:modified xsi:type="dcterms:W3CDTF">2015-07-27T08:35:00Z</dcterms:modified>
</cp:coreProperties>
</file>